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0B3C" w14:textId="0CAE6DFB" w:rsidR="002A7281" w:rsidRDefault="002A7281" w:rsidP="002A7281">
      <w:pPr>
        <w:ind w:right="280"/>
        <w:rPr>
          <w:rFonts w:cstheme="minorHAnsi"/>
          <w:sz w:val="28"/>
          <w:szCs w:val="28"/>
        </w:rPr>
      </w:pPr>
      <w:r>
        <w:rPr>
          <w:rFonts w:cstheme="minorHAnsi"/>
          <w:noProof/>
          <w:sz w:val="52"/>
          <w:szCs w:val="5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2A7281" w:rsidRDefault="002A7281" w:rsidP="002A7281">
      <w:pPr>
        <w:ind w:right="280"/>
        <w:rPr>
          <w:rFonts w:cstheme="minorHAnsi"/>
          <w:sz w:val="28"/>
          <w:szCs w:val="28"/>
        </w:rPr>
      </w:pPr>
    </w:p>
    <w:p w14:paraId="7B66C7DF" w14:textId="77777777" w:rsidR="00D53B28" w:rsidRDefault="00D53B28" w:rsidP="002A7281">
      <w:pPr>
        <w:spacing w:line="360" w:lineRule="auto"/>
        <w:ind w:left="720" w:hanging="720"/>
        <w:jc w:val="center"/>
        <w:rPr>
          <w:b/>
          <w:bCs/>
        </w:rPr>
      </w:pPr>
    </w:p>
    <w:p w14:paraId="14163D9B" w14:textId="3E470820" w:rsidR="00DD671A" w:rsidRPr="003E2D40" w:rsidRDefault="00DD671A" w:rsidP="00DD671A">
      <w:pPr>
        <w:pStyle w:val="NoSpacing"/>
        <w:spacing w:line="360" w:lineRule="auto"/>
        <w:rPr>
          <w:b/>
          <w:bCs/>
          <w:u w:val="single"/>
          <w:lang w:val="en-US"/>
        </w:rPr>
      </w:pPr>
    </w:p>
    <w:p w14:paraId="249936AE" w14:textId="7DE348A0" w:rsidR="002D1988" w:rsidRPr="00006AFC" w:rsidRDefault="004C28AD" w:rsidP="002D1988">
      <w:pPr>
        <w:spacing w:line="276" w:lineRule="auto"/>
        <w:jc w:val="center"/>
        <w:rPr>
          <w:rFonts w:cstheme="minorHAnsi"/>
          <w:b/>
          <w:bCs/>
          <w:sz w:val="22"/>
          <w:szCs w:val="22"/>
        </w:rPr>
      </w:pPr>
      <w:r>
        <w:rPr>
          <w:rFonts w:cstheme="minorHAnsi"/>
          <w:b/>
          <w:bCs/>
          <w:sz w:val="22"/>
          <w:szCs w:val="22"/>
        </w:rPr>
        <w:t xml:space="preserve">‘How to’ </w:t>
      </w:r>
      <w:r w:rsidR="00913A4F">
        <w:rPr>
          <w:rFonts w:cstheme="minorHAnsi"/>
          <w:b/>
          <w:bCs/>
          <w:sz w:val="22"/>
          <w:szCs w:val="22"/>
        </w:rPr>
        <w:t>Open Days</w:t>
      </w:r>
      <w:r w:rsidR="002D1988" w:rsidRPr="00006AFC">
        <w:rPr>
          <w:rFonts w:cstheme="minorHAnsi"/>
          <w:b/>
          <w:bCs/>
          <w:sz w:val="22"/>
          <w:szCs w:val="22"/>
        </w:rPr>
        <w:t xml:space="preserve"> - Delivery Notes</w:t>
      </w:r>
    </w:p>
    <w:p w14:paraId="3D31956F" w14:textId="77777777" w:rsidR="002D1988" w:rsidRPr="00006AFC" w:rsidRDefault="002D1988" w:rsidP="002D1988">
      <w:pPr>
        <w:spacing w:line="276" w:lineRule="auto"/>
        <w:jc w:val="center"/>
        <w:rPr>
          <w:rFonts w:cstheme="minorHAnsi"/>
          <w:b/>
          <w:bCs/>
          <w:sz w:val="22"/>
          <w:szCs w:val="22"/>
        </w:rPr>
      </w:pPr>
    </w:p>
    <w:p w14:paraId="0719EDE1" w14:textId="1F2A6802" w:rsidR="002D1988" w:rsidRPr="00006AFC" w:rsidRDefault="002D1988" w:rsidP="002D1988">
      <w:pPr>
        <w:spacing w:line="276" w:lineRule="auto"/>
        <w:rPr>
          <w:rFonts w:cstheme="minorHAnsi"/>
          <w:b/>
          <w:sz w:val="22"/>
          <w:szCs w:val="22"/>
        </w:rPr>
      </w:pPr>
      <w:r w:rsidRPr="00006AFC">
        <w:rPr>
          <w:rFonts w:cstheme="minorHAnsi"/>
          <w:b/>
          <w:sz w:val="22"/>
          <w:szCs w:val="22"/>
        </w:rPr>
        <w:t>Aim of the activity</w:t>
      </w:r>
    </w:p>
    <w:p w14:paraId="44931709" w14:textId="6B21216E" w:rsidR="002D1988" w:rsidRPr="002772B6" w:rsidRDefault="002772B6" w:rsidP="002772B6">
      <w:pPr>
        <w:spacing w:after="160" w:line="256" w:lineRule="auto"/>
        <w:rPr>
          <w:rFonts w:ascii="Calibri" w:eastAsia="Calibri" w:hAnsi="Calibri" w:cs="Times New Roman"/>
          <w:sz w:val="22"/>
          <w:szCs w:val="22"/>
          <w:lang w:val="en-GB"/>
        </w:rPr>
      </w:pPr>
      <w:r w:rsidRPr="002772B6">
        <w:rPr>
          <w:rFonts w:ascii="Calibri" w:eastAsia="Calibri" w:hAnsi="Calibri" w:cs="Times New Roman"/>
          <w:sz w:val="22"/>
          <w:szCs w:val="22"/>
          <w:lang w:val="en-GB"/>
        </w:rPr>
        <w:t>This session helps learners to understand what a HE Open Day is and how to make the most of them. Learners will have the chance to put together an open day action plan.</w:t>
      </w:r>
    </w:p>
    <w:p w14:paraId="6698A123" w14:textId="0FEE7A66" w:rsidR="002D1988" w:rsidRDefault="002D1988" w:rsidP="002D1988">
      <w:pPr>
        <w:spacing w:line="276" w:lineRule="auto"/>
        <w:rPr>
          <w:rFonts w:cstheme="minorHAnsi"/>
          <w:b/>
          <w:sz w:val="22"/>
          <w:szCs w:val="22"/>
        </w:rPr>
      </w:pPr>
      <w:r w:rsidRPr="00006AFC">
        <w:rPr>
          <w:rFonts w:cstheme="minorHAnsi"/>
          <w:b/>
          <w:sz w:val="22"/>
          <w:szCs w:val="22"/>
        </w:rPr>
        <w:t>Duration</w:t>
      </w:r>
    </w:p>
    <w:p w14:paraId="0C29D710" w14:textId="77777777" w:rsidR="00630C15" w:rsidRPr="006A50BA" w:rsidRDefault="00630C15" w:rsidP="00630C15">
      <w:pPr>
        <w:spacing w:line="276" w:lineRule="auto"/>
        <w:rPr>
          <w:rFonts w:cstheme="minorHAnsi"/>
          <w:sz w:val="22"/>
          <w:szCs w:val="22"/>
        </w:rPr>
      </w:pPr>
      <w:proofErr w:type="gramStart"/>
      <w:r w:rsidRPr="006A50BA">
        <w:rPr>
          <w:rFonts w:cstheme="minorHAnsi"/>
          <w:sz w:val="22"/>
          <w:szCs w:val="22"/>
        </w:rPr>
        <w:t>All of</w:t>
      </w:r>
      <w:proofErr w:type="gramEnd"/>
      <w:r w:rsidRPr="006A50BA">
        <w:rPr>
          <w:rFonts w:cstheme="minorHAnsi"/>
          <w:sz w:val="22"/>
          <w:szCs w:val="22"/>
        </w:rPr>
        <w:t xml:space="preserve"> the ‘how to’ presentations have been designed to be flexible. Please choose which slides you will use as you see fit for the time you have available. </w:t>
      </w:r>
    </w:p>
    <w:p w14:paraId="1DBD8F29" w14:textId="77777777" w:rsidR="00630C15" w:rsidRDefault="00630C15" w:rsidP="002D1988">
      <w:pPr>
        <w:spacing w:line="276" w:lineRule="auto"/>
        <w:rPr>
          <w:rFonts w:cstheme="minorHAnsi"/>
          <w:b/>
          <w:sz w:val="22"/>
          <w:szCs w:val="22"/>
        </w:rPr>
      </w:pPr>
    </w:p>
    <w:p w14:paraId="376EDC1D" w14:textId="439255D2" w:rsidR="00BD0BA6" w:rsidRPr="00BD0BA6" w:rsidRDefault="00874307" w:rsidP="00BD0BA6">
      <w:pPr>
        <w:spacing w:after="160" w:line="256" w:lineRule="auto"/>
        <w:rPr>
          <w:rFonts w:ascii="Calibri" w:eastAsia="Calibri" w:hAnsi="Calibri" w:cs="Times New Roman"/>
          <w:kern w:val="2"/>
          <w:sz w:val="22"/>
          <w:szCs w:val="22"/>
          <w:lang w:val="en-GB"/>
          <w14:ligatures w14:val="standardContextual"/>
        </w:rPr>
      </w:pPr>
      <w:r w:rsidRPr="006A50BA">
        <w:rPr>
          <w:rFonts w:cstheme="minorHAnsi"/>
          <w:i/>
          <w:iCs/>
          <w:sz w:val="22"/>
          <w:szCs w:val="22"/>
        </w:rPr>
        <w:t>Less than 20 minutes:</w:t>
      </w:r>
      <w:r w:rsidRPr="006A50BA">
        <w:rPr>
          <w:rFonts w:cstheme="minorHAnsi"/>
          <w:sz w:val="22"/>
          <w:szCs w:val="22"/>
        </w:rPr>
        <w:t xml:space="preserve"> </w:t>
      </w:r>
      <w:r>
        <w:rPr>
          <w:rFonts w:ascii="Calibri" w:eastAsia="Calibri" w:hAnsi="Calibri" w:cs="Times New Roman"/>
          <w:kern w:val="2"/>
          <w:sz w:val="22"/>
          <w:szCs w:val="22"/>
          <w:lang w:val="en-GB"/>
          <w14:ligatures w14:val="standardContextual"/>
        </w:rPr>
        <w:t>T</w:t>
      </w:r>
      <w:r w:rsidR="00BD0BA6" w:rsidRPr="00BD0BA6">
        <w:rPr>
          <w:rFonts w:ascii="Calibri" w:eastAsia="Calibri" w:hAnsi="Calibri" w:cs="Times New Roman"/>
          <w:kern w:val="2"/>
          <w:sz w:val="22"/>
          <w:szCs w:val="22"/>
          <w:lang w:val="en-GB"/>
          <w14:ligatures w14:val="standardContextual"/>
        </w:rPr>
        <w:t>alk through slides 1 to 6.</w:t>
      </w:r>
    </w:p>
    <w:p w14:paraId="5BAE7E76" w14:textId="77777777" w:rsidR="009820C3" w:rsidRPr="00006AFC" w:rsidRDefault="009820C3" w:rsidP="009820C3">
      <w:pPr>
        <w:spacing w:line="276" w:lineRule="auto"/>
        <w:rPr>
          <w:rFonts w:cstheme="minorHAnsi"/>
          <w:b/>
          <w:sz w:val="22"/>
          <w:szCs w:val="22"/>
        </w:rPr>
      </w:pPr>
      <w:r w:rsidRPr="006A50BA">
        <w:rPr>
          <w:rFonts w:cstheme="minorHAnsi"/>
          <w:i/>
          <w:iCs/>
          <w:sz w:val="22"/>
          <w:szCs w:val="22"/>
        </w:rPr>
        <w:t>20-60 minutes:</w:t>
      </w:r>
      <w:r w:rsidRPr="006A50BA">
        <w:rPr>
          <w:rFonts w:cstheme="minorHAnsi"/>
          <w:sz w:val="22"/>
          <w:szCs w:val="22"/>
        </w:rPr>
        <w:t xml:space="preserve"> Full presentation</w:t>
      </w:r>
      <w:r>
        <w:rPr>
          <w:rFonts w:cstheme="minorHAnsi"/>
          <w:sz w:val="22"/>
          <w:szCs w:val="22"/>
        </w:rPr>
        <w:t xml:space="preserve"> – adapt as needed</w:t>
      </w:r>
      <w:r w:rsidRPr="006A50BA">
        <w:rPr>
          <w:rFonts w:cstheme="minorHAnsi"/>
          <w:sz w:val="22"/>
          <w:szCs w:val="22"/>
        </w:rPr>
        <w:t>.</w:t>
      </w:r>
    </w:p>
    <w:p w14:paraId="5EA96298" w14:textId="77777777" w:rsidR="00BD2222" w:rsidRDefault="00BD2222" w:rsidP="002D1988">
      <w:pPr>
        <w:spacing w:line="276" w:lineRule="auto"/>
        <w:rPr>
          <w:rFonts w:cstheme="minorHAnsi"/>
          <w:b/>
          <w:sz w:val="22"/>
          <w:szCs w:val="22"/>
        </w:rPr>
      </w:pPr>
    </w:p>
    <w:p w14:paraId="7EBB5A71" w14:textId="2216C5A7" w:rsidR="002D1988" w:rsidRPr="00434450" w:rsidRDefault="002D1988" w:rsidP="002D1988">
      <w:pPr>
        <w:spacing w:line="276" w:lineRule="auto"/>
        <w:rPr>
          <w:rFonts w:cstheme="minorHAnsi"/>
          <w:sz w:val="22"/>
          <w:szCs w:val="22"/>
        </w:rPr>
      </w:pPr>
      <w:r w:rsidRPr="00434450">
        <w:rPr>
          <w:rFonts w:cstheme="minorHAnsi"/>
          <w:b/>
          <w:sz w:val="22"/>
          <w:szCs w:val="22"/>
        </w:rPr>
        <w:t>Resources</w:t>
      </w:r>
    </w:p>
    <w:p w14:paraId="6132CEF7" w14:textId="77777777" w:rsidR="00D27AC3" w:rsidRPr="009A6D8E" w:rsidRDefault="00D27AC3" w:rsidP="00D27AC3">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Computer</w:t>
      </w:r>
    </w:p>
    <w:p w14:paraId="753ABFEE" w14:textId="77777777" w:rsidR="00D27AC3" w:rsidRPr="009A6D8E" w:rsidRDefault="00D27AC3" w:rsidP="00D27AC3">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 xml:space="preserve">Screen to display the PowerPoint </w:t>
      </w:r>
      <w:proofErr w:type="gramStart"/>
      <w:r w:rsidRPr="009A6D8E">
        <w:rPr>
          <w:rFonts w:asciiTheme="minorHAnsi" w:hAnsiTheme="minorHAnsi" w:cstheme="minorHAnsi"/>
          <w:lang w:val="en-US"/>
        </w:rPr>
        <w:t>e.g.</w:t>
      </w:r>
      <w:proofErr w:type="gramEnd"/>
      <w:r w:rsidRPr="009A6D8E">
        <w:rPr>
          <w:rFonts w:asciiTheme="minorHAnsi" w:hAnsiTheme="minorHAnsi" w:cstheme="minorHAnsi"/>
          <w:lang w:val="en-US"/>
        </w:rPr>
        <w:t xml:space="preserve"> Whiteboard</w:t>
      </w:r>
    </w:p>
    <w:p w14:paraId="69E2045F" w14:textId="723F9170" w:rsidR="00D27AC3" w:rsidRPr="009A6D8E" w:rsidRDefault="00D27AC3" w:rsidP="00D27AC3">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 xml:space="preserve">‘How to’ </w:t>
      </w:r>
      <w:r w:rsidR="00BB0E63">
        <w:rPr>
          <w:rFonts w:asciiTheme="minorHAnsi" w:hAnsiTheme="minorHAnsi" w:cstheme="minorHAnsi"/>
          <w:lang w:val="en-US"/>
        </w:rPr>
        <w:t>Open Days</w:t>
      </w:r>
      <w:r w:rsidRPr="009A6D8E">
        <w:rPr>
          <w:rFonts w:asciiTheme="minorHAnsi" w:hAnsiTheme="minorHAnsi" w:cstheme="minorHAnsi"/>
          <w:lang w:val="en-US"/>
        </w:rPr>
        <w:t xml:space="preserve"> PowerPoint</w:t>
      </w:r>
    </w:p>
    <w:p w14:paraId="42ED55B4" w14:textId="0F2F5EBC" w:rsidR="00BD2222" w:rsidRDefault="00BB0E63" w:rsidP="00BB0E63">
      <w:pPr>
        <w:pStyle w:val="ListParagraph"/>
        <w:numPr>
          <w:ilvl w:val="0"/>
          <w:numId w:val="9"/>
        </w:numPr>
        <w:spacing w:after="160"/>
        <w:rPr>
          <w:rFonts w:asciiTheme="minorHAnsi" w:hAnsiTheme="minorHAnsi" w:cstheme="minorHAnsi"/>
          <w:lang w:val="en-US"/>
        </w:rPr>
      </w:pPr>
      <w:r>
        <w:rPr>
          <w:rFonts w:asciiTheme="minorHAnsi" w:hAnsiTheme="minorHAnsi" w:cstheme="minorHAnsi"/>
          <w:lang w:val="en-US"/>
        </w:rPr>
        <w:t>Print ou</w:t>
      </w:r>
      <w:r w:rsidR="004A6EAB">
        <w:rPr>
          <w:rFonts w:asciiTheme="minorHAnsi" w:hAnsiTheme="minorHAnsi" w:cstheme="minorHAnsi"/>
          <w:lang w:val="en-US"/>
        </w:rPr>
        <w:t>t</w:t>
      </w:r>
      <w:r>
        <w:rPr>
          <w:rFonts w:asciiTheme="minorHAnsi" w:hAnsiTheme="minorHAnsi" w:cstheme="minorHAnsi"/>
          <w:lang w:val="en-US"/>
        </w:rPr>
        <w:t xml:space="preserve"> of slide 8 – 1 per student (optional)</w:t>
      </w:r>
    </w:p>
    <w:p w14:paraId="49D515F8" w14:textId="77777777" w:rsidR="00BB0E63" w:rsidRPr="00BB0E63" w:rsidRDefault="00BB0E63" w:rsidP="00BB0E63">
      <w:pPr>
        <w:pStyle w:val="ListParagraph"/>
        <w:spacing w:after="160"/>
        <w:ind w:left="567"/>
        <w:rPr>
          <w:rFonts w:asciiTheme="minorHAnsi" w:hAnsiTheme="minorHAnsi" w:cstheme="minorHAnsi"/>
          <w:lang w:val="en-US"/>
        </w:rPr>
      </w:pPr>
    </w:p>
    <w:p w14:paraId="3EDB7B60" w14:textId="1209CA5B" w:rsidR="009C7452" w:rsidRPr="004A6EAB" w:rsidRDefault="002D1988" w:rsidP="004A6EAB">
      <w:pPr>
        <w:spacing w:line="276" w:lineRule="auto"/>
        <w:rPr>
          <w:b/>
          <w:sz w:val="22"/>
          <w:szCs w:val="22"/>
        </w:rPr>
      </w:pPr>
      <w:r w:rsidRPr="001A79D8">
        <w:rPr>
          <w:b/>
          <w:sz w:val="22"/>
          <w:szCs w:val="22"/>
        </w:rPr>
        <w:t>Delivering the activity</w:t>
      </w:r>
    </w:p>
    <w:tbl>
      <w:tblPr>
        <w:tblStyle w:val="TableGrid1"/>
        <w:tblW w:w="9918" w:type="dxa"/>
        <w:tblLook w:val="04A0" w:firstRow="1" w:lastRow="0" w:firstColumn="1" w:lastColumn="0" w:noHBand="0" w:noVBand="1"/>
      </w:tblPr>
      <w:tblGrid>
        <w:gridCol w:w="1129"/>
        <w:gridCol w:w="8789"/>
      </w:tblGrid>
      <w:tr w:rsidR="004A6EAB" w:rsidRPr="00294871" w14:paraId="25481BD6" w14:textId="77777777" w:rsidTr="00057D1F">
        <w:tc>
          <w:tcPr>
            <w:tcW w:w="1129" w:type="dxa"/>
          </w:tcPr>
          <w:p w14:paraId="6E1EFDA4" w14:textId="77777777" w:rsidR="004A6EAB" w:rsidRPr="00294871" w:rsidRDefault="004A6EAB" w:rsidP="00057D1F">
            <w:pPr>
              <w:rPr>
                <w:rFonts w:ascii="Calibri" w:eastAsia="Calibri" w:hAnsi="Calibri" w:cs="Times New Roman"/>
              </w:rPr>
            </w:pPr>
            <w:r w:rsidRPr="00294871">
              <w:rPr>
                <w:rFonts w:ascii="Calibri" w:eastAsia="Calibri" w:hAnsi="Calibri" w:cs="Times New Roman"/>
                <w:b/>
                <w:bCs/>
              </w:rPr>
              <w:t>Slide</w:t>
            </w:r>
          </w:p>
        </w:tc>
        <w:tc>
          <w:tcPr>
            <w:tcW w:w="8789" w:type="dxa"/>
          </w:tcPr>
          <w:p w14:paraId="35F579A2" w14:textId="77777777" w:rsidR="004A6EAB" w:rsidRPr="00294871" w:rsidRDefault="004A6EAB" w:rsidP="00057D1F">
            <w:pPr>
              <w:rPr>
                <w:rFonts w:ascii="Calibri" w:eastAsia="Calibri" w:hAnsi="Calibri" w:cs="Times New Roman"/>
              </w:rPr>
            </w:pPr>
            <w:r w:rsidRPr="00294871">
              <w:rPr>
                <w:rFonts w:ascii="Calibri" w:eastAsia="Calibri" w:hAnsi="Calibri" w:cs="Times New Roman"/>
                <w:b/>
                <w:bCs/>
              </w:rPr>
              <w:t>Delivery</w:t>
            </w:r>
          </w:p>
        </w:tc>
      </w:tr>
      <w:tr w:rsidR="004A6EAB" w:rsidRPr="00294871" w14:paraId="570D3775" w14:textId="77777777" w:rsidTr="00057D1F">
        <w:tc>
          <w:tcPr>
            <w:tcW w:w="1129" w:type="dxa"/>
          </w:tcPr>
          <w:p w14:paraId="5A60AE5E" w14:textId="77777777" w:rsidR="004A6EAB" w:rsidRPr="00294871" w:rsidRDefault="004A6EAB" w:rsidP="00057D1F">
            <w:pPr>
              <w:rPr>
                <w:rFonts w:ascii="Calibri" w:eastAsia="Calibri" w:hAnsi="Calibri" w:cs="Times New Roman"/>
              </w:rPr>
            </w:pPr>
            <w:r w:rsidRPr="00294871">
              <w:rPr>
                <w:rFonts w:ascii="Calibri" w:eastAsia="Calibri" w:hAnsi="Calibri" w:cs="Times New Roman"/>
              </w:rPr>
              <w:t>1</w:t>
            </w:r>
          </w:p>
        </w:tc>
        <w:tc>
          <w:tcPr>
            <w:tcW w:w="8789" w:type="dxa"/>
          </w:tcPr>
          <w:p w14:paraId="4A0E2CE1" w14:textId="77777777" w:rsidR="004A6EAB" w:rsidRPr="00294871" w:rsidRDefault="004A6EAB" w:rsidP="004A6EAB">
            <w:pPr>
              <w:numPr>
                <w:ilvl w:val="0"/>
                <w:numId w:val="12"/>
              </w:numPr>
              <w:contextualSpacing/>
              <w:rPr>
                <w:rFonts w:ascii="Calibri" w:eastAsia="Calibri" w:hAnsi="Calibri" w:cs="Times New Roman"/>
              </w:rPr>
            </w:pPr>
            <w:r w:rsidRPr="00294871">
              <w:rPr>
                <w:rFonts w:ascii="Calibri" w:eastAsia="Calibri" w:hAnsi="Calibri" w:cs="Times New Roman"/>
              </w:rPr>
              <w:t xml:space="preserve">Put this slide up as learners enter and get settled. </w:t>
            </w:r>
          </w:p>
          <w:p w14:paraId="1CDCA0B0" w14:textId="77777777" w:rsidR="004A6EAB" w:rsidRPr="00294871" w:rsidRDefault="004A6EAB" w:rsidP="00057D1F">
            <w:pPr>
              <w:ind w:left="360"/>
              <w:contextualSpacing/>
              <w:rPr>
                <w:rFonts w:ascii="Calibri" w:eastAsia="Calibri" w:hAnsi="Calibri" w:cs="Times New Roman"/>
              </w:rPr>
            </w:pPr>
          </w:p>
        </w:tc>
      </w:tr>
      <w:tr w:rsidR="004A6EAB" w:rsidRPr="00294871" w14:paraId="0A55B5F1" w14:textId="77777777" w:rsidTr="00057D1F">
        <w:tc>
          <w:tcPr>
            <w:tcW w:w="1129" w:type="dxa"/>
          </w:tcPr>
          <w:p w14:paraId="31157433" w14:textId="77777777" w:rsidR="004A6EAB" w:rsidRPr="00294871" w:rsidRDefault="004A6EAB" w:rsidP="00057D1F">
            <w:pPr>
              <w:rPr>
                <w:rFonts w:ascii="Calibri" w:eastAsia="Calibri" w:hAnsi="Calibri" w:cs="Times New Roman"/>
              </w:rPr>
            </w:pPr>
            <w:r w:rsidRPr="00294871">
              <w:rPr>
                <w:rFonts w:ascii="Calibri" w:eastAsia="Calibri" w:hAnsi="Calibri" w:cs="Times New Roman"/>
              </w:rPr>
              <w:t>2</w:t>
            </w:r>
          </w:p>
        </w:tc>
        <w:tc>
          <w:tcPr>
            <w:tcW w:w="8789" w:type="dxa"/>
          </w:tcPr>
          <w:p w14:paraId="1F178333" w14:textId="77777777" w:rsidR="004A6EAB" w:rsidRPr="00294871" w:rsidRDefault="004A6EAB" w:rsidP="004A6EAB">
            <w:pPr>
              <w:numPr>
                <w:ilvl w:val="0"/>
                <w:numId w:val="12"/>
              </w:numPr>
              <w:contextualSpacing/>
              <w:rPr>
                <w:rFonts w:ascii="Calibri" w:eastAsia="Calibri" w:hAnsi="Calibri" w:cs="Times New Roman"/>
              </w:rPr>
            </w:pPr>
            <w:r w:rsidRPr="00294871">
              <w:rPr>
                <w:rFonts w:ascii="Calibri" w:eastAsia="Calibri" w:hAnsi="Calibri" w:cs="Times New Roman"/>
              </w:rPr>
              <w:t>Short introduction to GHWY and the topic:</w:t>
            </w:r>
          </w:p>
          <w:p w14:paraId="6410F79E" w14:textId="77777777" w:rsidR="004A6EAB" w:rsidRPr="00294871" w:rsidRDefault="004A6EAB" w:rsidP="004A6EAB">
            <w:pPr>
              <w:numPr>
                <w:ilvl w:val="1"/>
                <w:numId w:val="12"/>
              </w:numPr>
              <w:contextualSpacing/>
              <w:rPr>
                <w:rFonts w:ascii="Calibri" w:eastAsia="Calibri" w:hAnsi="Calibri" w:cs="Times New Roman"/>
              </w:rPr>
            </w:pPr>
            <w:r w:rsidRPr="00294871">
              <w:rPr>
                <w:rFonts w:ascii="Calibri" w:eastAsia="Calibri" w:hAnsi="Calibri" w:cs="Times New Roman"/>
              </w:rPr>
              <w:t>GHWY - ‘GHWY is a partnership of 13 HEP’s across West Yorkshire. Our aim is to work together to make sure young people and their parents/carers have the right information to be able to make informed decisions around Higher Education’.</w:t>
            </w:r>
          </w:p>
          <w:p w14:paraId="79F85C29" w14:textId="4459E50F" w:rsidR="004A6EAB" w:rsidRPr="00294871" w:rsidRDefault="004A6EAB" w:rsidP="004A6EAB">
            <w:pPr>
              <w:numPr>
                <w:ilvl w:val="1"/>
                <w:numId w:val="12"/>
              </w:numPr>
              <w:contextualSpacing/>
              <w:rPr>
                <w:rFonts w:ascii="Calibri" w:eastAsia="Calibri" w:hAnsi="Calibri" w:cs="Times New Roman"/>
              </w:rPr>
            </w:pPr>
            <w:r w:rsidRPr="00294871">
              <w:rPr>
                <w:rFonts w:ascii="Calibri" w:eastAsia="Calibri" w:hAnsi="Calibri" w:cs="Times New Roman"/>
              </w:rPr>
              <w:t xml:space="preserve">Today we’ll be looking at </w:t>
            </w:r>
            <w:r>
              <w:rPr>
                <w:rFonts w:ascii="Calibri" w:eastAsia="Calibri" w:hAnsi="Calibri" w:cs="Times New Roman"/>
              </w:rPr>
              <w:t>Open Days</w:t>
            </w:r>
            <w:r w:rsidRPr="00294871">
              <w:rPr>
                <w:rFonts w:ascii="Calibri" w:eastAsia="Calibri" w:hAnsi="Calibri" w:cs="Times New Roman"/>
              </w:rPr>
              <w:t>.</w:t>
            </w:r>
          </w:p>
          <w:p w14:paraId="47F48316" w14:textId="77777777" w:rsidR="004A6EAB" w:rsidRPr="00294871" w:rsidRDefault="004A6EAB" w:rsidP="00057D1F">
            <w:pPr>
              <w:ind w:left="360"/>
              <w:contextualSpacing/>
              <w:rPr>
                <w:rFonts w:ascii="Calibri" w:eastAsia="Calibri" w:hAnsi="Calibri" w:cs="Times New Roman"/>
              </w:rPr>
            </w:pPr>
          </w:p>
        </w:tc>
      </w:tr>
      <w:tr w:rsidR="004A6EAB" w:rsidRPr="00294871" w14:paraId="7582811A" w14:textId="77777777" w:rsidTr="00057D1F">
        <w:tc>
          <w:tcPr>
            <w:tcW w:w="1129" w:type="dxa"/>
          </w:tcPr>
          <w:p w14:paraId="153194F4" w14:textId="77777777" w:rsidR="004A6EAB" w:rsidRPr="00294871" w:rsidRDefault="004A6EAB" w:rsidP="00057D1F">
            <w:pPr>
              <w:rPr>
                <w:rFonts w:ascii="Calibri" w:eastAsia="Calibri" w:hAnsi="Calibri" w:cs="Times New Roman"/>
              </w:rPr>
            </w:pPr>
            <w:r w:rsidRPr="00294871">
              <w:rPr>
                <w:rFonts w:ascii="Calibri" w:eastAsia="Calibri" w:hAnsi="Calibri" w:cs="Times New Roman"/>
              </w:rPr>
              <w:t>3</w:t>
            </w:r>
          </w:p>
        </w:tc>
        <w:tc>
          <w:tcPr>
            <w:tcW w:w="8789" w:type="dxa"/>
          </w:tcPr>
          <w:p w14:paraId="2A2C032C" w14:textId="196E18B8" w:rsidR="004A6EAB" w:rsidRPr="00294871" w:rsidRDefault="004A6EAB" w:rsidP="004A6EAB">
            <w:pPr>
              <w:numPr>
                <w:ilvl w:val="0"/>
                <w:numId w:val="13"/>
              </w:numPr>
              <w:contextualSpacing/>
              <w:rPr>
                <w:rFonts w:ascii="Calibri" w:eastAsia="Calibri" w:hAnsi="Calibri" w:cs="Times New Roman"/>
              </w:rPr>
            </w:pPr>
            <w:r w:rsidRPr="00294871">
              <w:rPr>
                <w:rFonts w:ascii="Calibri" w:eastAsia="Calibri" w:hAnsi="Calibri" w:cs="Times New Roman"/>
              </w:rPr>
              <w:t>Talk through slid</w:t>
            </w:r>
            <w:r>
              <w:rPr>
                <w:rFonts w:ascii="Calibri" w:eastAsia="Calibri" w:hAnsi="Calibri" w:cs="Times New Roman"/>
              </w:rPr>
              <w:t>e, introducing them to what an open day is</w:t>
            </w:r>
          </w:p>
        </w:tc>
      </w:tr>
      <w:tr w:rsidR="004A6EAB" w:rsidRPr="00294871" w14:paraId="2462AAD8" w14:textId="77777777" w:rsidTr="00057D1F">
        <w:tc>
          <w:tcPr>
            <w:tcW w:w="1129" w:type="dxa"/>
          </w:tcPr>
          <w:p w14:paraId="2A9FC5A5" w14:textId="77777777" w:rsidR="004A6EAB" w:rsidRPr="00294871" w:rsidRDefault="004A6EAB" w:rsidP="00057D1F">
            <w:pPr>
              <w:rPr>
                <w:rFonts w:ascii="Calibri" w:eastAsia="Calibri" w:hAnsi="Calibri" w:cs="Times New Roman"/>
              </w:rPr>
            </w:pPr>
            <w:r>
              <w:rPr>
                <w:rFonts w:ascii="Calibri" w:eastAsia="Calibri" w:hAnsi="Calibri" w:cs="Times New Roman"/>
              </w:rPr>
              <w:t>4</w:t>
            </w:r>
          </w:p>
        </w:tc>
        <w:tc>
          <w:tcPr>
            <w:tcW w:w="8789" w:type="dxa"/>
          </w:tcPr>
          <w:p w14:paraId="4E6E26E1" w14:textId="5CF2A1BB" w:rsidR="004A6EAB" w:rsidRPr="00294871" w:rsidRDefault="004A6EAB" w:rsidP="004A6EAB">
            <w:pPr>
              <w:numPr>
                <w:ilvl w:val="0"/>
                <w:numId w:val="14"/>
              </w:numPr>
              <w:contextualSpacing/>
              <w:rPr>
                <w:rFonts w:ascii="Calibri" w:eastAsia="Calibri" w:hAnsi="Calibri" w:cs="Times New Roman"/>
              </w:rPr>
            </w:pPr>
            <w:r>
              <w:rPr>
                <w:rFonts w:ascii="Calibri" w:eastAsia="Calibri" w:hAnsi="Calibri" w:cs="Times New Roman"/>
              </w:rPr>
              <w:t xml:space="preserve">Talk through slide, introducing them to what happens at an open </w:t>
            </w:r>
            <w:proofErr w:type="gramStart"/>
            <w:r>
              <w:rPr>
                <w:rFonts w:ascii="Calibri" w:eastAsia="Calibri" w:hAnsi="Calibri" w:cs="Times New Roman"/>
              </w:rPr>
              <w:t>day</w:t>
            </w:r>
            <w:proofErr w:type="gramEnd"/>
          </w:p>
          <w:p w14:paraId="72D65AB4" w14:textId="77777777" w:rsidR="004A6EAB" w:rsidRPr="00294871" w:rsidRDefault="004A6EAB" w:rsidP="00057D1F">
            <w:pPr>
              <w:ind w:left="360"/>
              <w:contextualSpacing/>
              <w:rPr>
                <w:rFonts w:ascii="Calibri" w:eastAsia="Calibri" w:hAnsi="Calibri" w:cs="Times New Roman"/>
              </w:rPr>
            </w:pPr>
          </w:p>
        </w:tc>
      </w:tr>
      <w:tr w:rsidR="004A6EAB" w:rsidRPr="00294871" w14:paraId="12B95537" w14:textId="77777777" w:rsidTr="00057D1F">
        <w:tc>
          <w:tcPr>
            <w:tcW w:w="1129" w:type="dxa"/>
          </w:tcPr>
          <w:p w14:paraId="7840F941" w14:textId="77777777" w:rsidR="004A6EAB" w:rsidRPr="00294871" w:rsidRDefault="004A6EAB" w:rsidP="00057D1F">
            <w:pPr>
              <w:rPr>
                <w:rFonts w:ascii="Calibri" w:eastAsia="Calibri" w:hAnsi="Calibri" w:cs="Times New Roman"/>
              </w:rPr>
            </w:pPr>
            <w:r>
              <w:rPr>
                <w:rFonts w:ascii="Calibri" w:eastAsia="Calibri" w:hAnsi="Calibri" w:cs="Times New Roman"/>
              </w:rPr>
              <w:t>5</w:t>
            </w:r>
          </w:p>
        </w:tc>
        <w:tc>
          <w:tcPr>
            <w:tcW w:w="8789" w:type="dxa"/>
          </w:tcPr>
          <w:p w14:paraId="47F07461" w14:textId="2769E3B5" w:rsidR="004A6EAB" w:rsidRPr="00294871" w:rsidRDefault="004A6EAB" w:rsidP="004A6EAB">
            <w:pPr>
              <w:numPr>
                <w:ilvl w:val="0"/>
                <w:numId w:val="14"/>
              </w:numPr>
              <w:contextualSpacing/>
              <w:rPr>
                <w:rFonts w:ascii="Calibri" w:eastAsia="Calibri" w:hAnsi="Calibri" w:cs="Times New Roman"/>
              </w:rPr>
            </w:pPr>
            <w:r>
              <w:rPr>
                <w:rFonts w:ascii="Calibri" w:eastAsia="Calibri" w:hAnsi="Calibri" w:cs="Times New Roman"/>
              </w:rPr>
              <w:t xml:space="preserve">When do open days </w:t>
            </w:r>
            <w:proofErr w:type="gramStart"/>
            <w:r>
              <w:rPr>
                <w:rFonts w:ascii="Calibri" w:eastAsia="Calibri" w:hAnsi="Calibri" w:cs="Times New Roman"/>
              </w:rPr>
              <w:t>happen</w:t>
            </w:r>
            <w:proofErr w:type="gramEnd"/>
          </w:p>
          <w:p w14:paraId="6EAD8AF9" w14:textId="77777777" w:rsidR="004A6EAB" w:rsidRPr="00294871" w:rsidRDefault="004A6EAB" w:rsidP="00057D1F">
            <w:pPr>
              <w:contextualSpacing/>
              <w:rPr>
                <w:rFonts w:ascii="Calibri" w:eastAsia="Calibri" w:hAnsi="Calibri" w:cs="Times New Roman"/>
              </w:rPr>
            </w:pPr>
          </w:p>
        </w:tc>
      </w:tr>
      <w:tr w:rsidR="004A6EAB" w:rsidRPr="00294871" w14:paraId="12E22C91" w14:textId="77777777" w:rsidTr="00057D1F">
        <w:tc>
          <w:tcPr>
            <w:tcW w:w="1129" w:type="dxa"/>
          </w:tcPr>
          <w:p w14:paraId="6B06E20A" w14:textId="6BB29BF6" w:rsidR="004A6EAB" w:rsidRPr="00294871" w:rsidRDefault="004A6EAB" w:rsidP="00057D1F">
            <w:pPr>
              <w:rPr>
                <w:rFonts w:ascii="Calibri" w:eastAsia="Calibri" w:hAnsi="Calibri" w:cs="Times New Roman"/>
              </w:rPr>
            </w:pPr>
            <w:r>
              <w:rPr>
                <w:rFonts w:ascii="Calibri" w:eastAsia="Calibri" w:hAnsi="Calibri" w:cs="Times New Roman"/>
              </w:rPr>
              <w:t>6</w:t>
            </w:r>
          </w:p>
        </w:tc>
        <w:tc>
          <w:tcPr>
            <w:tcW w:w="8789" w:type="dxa"/>
          </w:tcPr>
          <w:p w14:paraId="7FEF1AC0" w14:textId="61157569" w:rsidR="004A6EAB" w:rsidRPr="00294871" w:rsidRDefault="004A6EAB" w:rsidP="004A6EAB">
            <w:pPr>
              <w:numPr>
                <w:ilvl w:val="0"/>
                <w:numId w:val="14"/>
              </w:numPr>
              <w:contextualSpacing/>
              <w:rPr>
                <w:rFonts w:ascii="Calibri" w:eastAsia="Calibri" w:hAnsi="Calibri" w:cs="Times New Roman"/>
              </w:rPr>
            </w:pPr>
            <w:r>
              <w:rPr>
                <w:rFonts w:ascii="Calibri" w:eastAsia="Calibri" w:hAnsi="Calibri" w:cs="Times New Roman"/>
              </w:rPr>
              <w:t>Tips for preparing for an open day</w:t>
            </w:r>
            <w:r w:rsidRPr="00E44145">
              <w:rPr>
                <w:rFonts w:ascii="Calibri" w:eastAsia="Calibri" w:hAnsi="Calibri" w:cs="Times New Roman"/>
              </w:rPr>
              <w:t xml:space="preserve">  </w:t>
            </w:r>
          </w:p>
        </w:tc>
      </w:tr>
      <w:tr w:rsidR="004A6EAB" w:rsidRPr="00294871" w14:paraId="7FA20F7B" w14:textId="77777777" w:rsidTr="00057D1F">
        <w:tc>
          <w:tcPr>
            <w:tcW w:w="1129" w:type="dxa"/>
          </w:tcPr>
          <w:p w14:paraId="09D4710C" w14:textId="73B6470E" w:rsidR="004A6EAB" w:rsidRPr="00294871" w:rsidRDefault="004A6EAB" w:rsidP="00057D1F">
            <w:pPr>
              <w:rPr>
                <w:rFonts w:ascii="Calibri" w:eastAsia="Calibri" w:hAnsi="Calibri" w:cs="Times New Roman"/>
              </w:rPr>
            </w:pPr>
            <w:r>
              <w:rPr>
                <w:rFonts w:ascii="Calibri" w:eastAsia="Calibri" w:hAnsi="Calibri" w:cs="Times New Roman"/>
              </w:rPr>
              <w:t>7</w:t>
            </w:r>
          </w:p>
        </w:tc>
        <w:tc>
          <w:tcPr>
            <w:tcW w:w="8789" w:type="dxa"/>
          </w:tcPr>
          <w:p w14:paraId="27995977" w14:textId="77777777" w:rsidR="004A6EAB" w:rsidRPr="004A6EAB" w:rsidRDefault="004A6EAB" w:rsidP="004A6EAB">
            <w:pPr>
              <w:numPr>
                <w:ilvl w:val="0"/>
                <w:numId w:val="14"/>
              </w:numPr>
              <w:contextualSpacing/>
              <w:rPr>
                <w:rFonts w:ascii="Calibri" w:eastAsia="Calibri" w:hAnsi="Calibri" w:cs="Times New Roman"/>
              </w:rPr>
            </w:pPr>
            <w:r w:rsidRPr="004A6EAB">
              <w:rPr>
                <w:rFonts w:ascii="Calibri" w:eastAsia="Calibri" w:hAnsi="Calibri" w:cs="Times New Roman"/>
              </w:rPr>
              <w:t>Please see below for some guidance towards examples of answers to the scenarios. Please note these are not exhaustive lists.</w:t>
            </w:r>
          </w:p>
          <w:p w14:paraId="4109E7DB" w14:textId="77777777" w:rsidR="004A6EAB" w:rsidRPr="004A6EAB" w:rsidRDefault="004A6EAB" w:rsidP="004A6EAB">
            <w:pPr>
              <w:numPr>
                <w:ilvl w:val="0"/>
                <w:numId w:val="14"/>
              </w:numPr>
              <w:contextualSpacing/>
              <w:rPr>
                <w:rFonts w:ascii="Calibri" w:eastAsia="Calibri" w:hAnsi="Calibri" w:cs="Times New Roman"/>
              </w:rPr>
            </w:pPr>
            <w:r w:rsidRPr="004A6EAB">
              <w:rPr>
                <w:rFonts w:ascii="Calibri" w:eastAsia="Calibri" w:hAnsi="Calibri" w:cs="Times New Roman"/>
              </w:rPr>
              <w:t xml:space="preserve">Student A: Would benefit from talking to accommodation, commuting students, course team to gain insight into contact team. They would look at questions around transport links </w:t>
            </w:r>
            <w:proofErr w:type="gramStart"/>
            <w:r w:rsidRPr="004A6EAB">
              <w:rPr>
                <w:rFonts w:ascii="Calibri" w:eastAsia="Calibri" w:hAnsi="Calibri" w:cs="Times New Roman"/>
              </w:rPr>
              <w:t>in the area of</w:t>
            </w:r>
            <w:proofErr w:type="gramEnd"/>
            <w:r w:rsidRPr="004A6EAB">
              <w:rPr>
                <w:rFonts w:ascii="Calibri" w:eastAsia="Calibri" w:hAnsi="Calibri" w:cs="Times New Roman"/>
              </w:rPr>
              <w:t xml:space="preserve"> the university, how many students commute, any cost saving suggestions and support for students who commute in meeting new people and societies students can join.</w:t>
            </w:r>
          </w:p>
          <w:p w14:paraId="34108AE6" w14:textId="77777777" w:rsidR="004A6EAB" w:rsidRPr="004A6EAB" w:rsidRDefault="004A6EAB" w:rsidP="004A6EAB">
            <w:pPr>
              <w:ind w:left="360"/>
              <w:contextualSpacing/>
              <w:rPr>
                <w:rFonts w:ascii="Calibri" w:eastAsia="Calibri" w:hAnsi="Calibri" w:cs="Times New Roman"/>
              </w:rPr>
            </w:pPr>
          </w:p>
          <w:p w14:paraId="79AD5C8A" w14:textId="77777777" w:rsidR="004A6EAB" w:rsidRPr="004A6EAB" w:rsidRDefault="004A6EAB" w:rsidP="004A6EAB">
            <w:pPr>
              <w:numPr>
                <w:ilvl w:val="0"/>
                <w:numId w:val="14"/>
              </w:numPr>
              <w:contextualSpacing/>
              <w:rPr>
                <w:rFonts w:ascii="Calibri" w:eastAsia="Calibri" w:hAnsi="Calibri" w:cs="Times New Roman"/>
              </w:rPr>
            </w:pPr>
            <w:r w:rsidRPr="004A6EAB">
              <w:rPr>
                <w:rFonts w:ascii="Calibri" w:eastAsia="Calibri" w:hAnsi="Calibri" w:cs="Times New Roman"/>
              </w:rPr>
              <w:lastRenderedPageBreak/>
              <w:t xml:space="preserve">Student B: Would benefit from talking to </w:t>
            </w:r>
            <w:proofErr w:type="gramStart"/>
            <w:r w:rsidRPr="004A6EAB">
              <w:rPr>
                <w:rFonts w:ascii="Calibri" w:eastAsia="Calibri" w:hAnsi="Calibri" w:cs="Times New Roman"/>
              </w:rPr>
              <w:t>both of the course</w:t>
            </w:r>
            <w:proofErr w:type="gramEnd"/>
            <w:r w:rsidRPr="004A6EAB">
              <w:rPr>
                <w:rFonts w:ascii="Calibri" w:eastAsia="Calibri" w:hAnsi="Calibri" w:cs="Times New Roman"/>
              </w:rPr>
              <w:t xml:space="preserve"> teams, student ambassadors from both areas and the careers team. They would look at questions around the different courses available, what modules are involved, any placement opportunities, the careers prospects of both and how they are assessed.</w:t>
            </w:r>
          </w:p>
          <w:p w14:paraId="1CAC8F9A" w14:textId="77777777" w:rsidR="004A6EAB" w:rsidRPr="004A6EAB" w:rsidRDefault="004A6EAB" w:rsidP="004A6EAB">
            <w:pPr>
              <w:ind w:left="360"/>
              <w:contextualSpacing/>
              <w:rPr>
                <w:rFonts w:ascii="Calibri" w:eastAsia="Calibri" w:hAnsi="Calibri" w:cs="Times New Roman"/>
              </w:rPr>
            </w:pPr>
          </w:p>
          <w:p w14:paraId="230DB69A" w14:textId="77777777" w:rsidR="004A6EAB" w:rsidRPr="004A6EAB" w:rsidRDefault="004A6EAB" w:rsidP="004A6EAB">
            <w:pPr>
              <w:numPr>
                <w:ilvl w:val="0"/>
                <w:numId w:val="14"/>
              </w:numPr>
              <w:contextualSpacing/>
              <w:rPr>
                <w:rFonts w:ascii="Calibri" w:eastAsia="Calibri" w:hAnsi="Calibri" w:cs="Times New Roman"/>
              </w:rPr>
            </w:pPr>
            <w:r w:rsidRPr="004A6EAB">
              <w:rPr>
                <w:rFonts w:ascii="Calibri" w:eastAsia="Calibri" w:hAnsi="Calibri" w:cs="Times New Roman"/>
              </w:rPr>
              <w:t>Student C: Would benefit from talking to the course team and the study abroad team. They would look at questions around placement opportunities, study abroad, financial support, careers prospects and courses that would allow them to study in this way.</w:t>
            </w:r>
          </w:p>
          <w:p w14:paraId="6022F980" w14:textId="77777777" w:rsidR="004A6EAB" w:rsidRPr="004A6EAB" w:rsidRDefault="004A6EAB" w:rsidP="004A6EAB">
            <w:pPr>
              <w:ind w:left="360"/>
              <w:contextualSpacing/>
              <w:rPr>
                <w:rFonts w:ascii="Calibri" w:eastAsia="Calibri" w:hAnsi="Calibri" w:cs="Times New Roman"/>
              </w:rPr>
            </w:pPr>
          </w:p>
          <w:p w14:paraId="38CA8F3F" w14:textId="77777777" w:rsidR="004A6EAB" w:rsidRPr="004A6EAB" w:rsidRDefault="004A6EAB" w:rsidP="004A6EAB">
            <w:pPr>
              <w:numPr>
                <w:ilvl w:val="0"/>
                <w:numId w:val="14"/>
              </w:numPr>
              <w:contextualSpacing/>
              <w:rPr>
                <w:rFonts w:ascii="Calibri" w:eastAsia="Calibri" w:hAnsi="Calibri" w:cs="Times New Roman"/>
              </w:rPr>
            </w:pPr>
            <w:r w:rsidRPr="004A6EAB">
              <w:rPr>
                <w:rFonts w:ascii="Calibri" w:eastAsia="Calibri" w:hAnsi="Calibri" w:cs="Times New Roman"/>
              </w:rPr>
              <w:t>Student D: Would benefit from talking to the disability support team, course team, wellbeing team and student ambassadors. They would look at questions around the support that is available, how to access any support, how their course is structured and assessed as well as any current students with dyslexia experience.</w:t>
            </w:r>
          </w:p>
          <w:p w14:paraId="7BD39903" w14:textId="044A0B1F" w:rsidR="004A6EAB" w:rsidRPr="00294871" w:rsidRDefault="004A6EAB" w:rsidP="004A6EAB">
            <w:pPr>
              <w:rPr>
                <w:rFonts w:ascii="Calibri" w:eastAsia="Calibri" w:hAnsi="Calibri" w:cs="Times New Roman"/>
              </w:rPr>
            </w:pPr>
          </w:p>
        </w:tc>
      </w:tr>
      <w:tr w:rsidR="004A6EAB" w:rsidRPr="00294871" w14:paraId="29B6BE72" w14:textId="77777777" w:rsidTr="00057D1F">
        <w:tc>
          <w:tcPr>
            <w:tcW w:w="1129" w:type="dxa"/>
          </w:tcPr>
          <w:p w14:paraId="0738EA95" w14:textId="609A15C7" w:rsidR="004A6EAB" w:rsidRPr="00294871" w:rsidRDefault="004A6EAB" w:rsidP="00057D1F">
            <w:pPr>
              <w:rPr>
                <w:rFonts w:ascii="Calibri" w:eastAsia="Calibri" w:hAnsi="Calibri" w:cs="Times New Roman"/>
              </w:rPr>
            </w:pPr>
            <w:r>
              <w:rPr>
                <w:rFonts w:ascii="Calibri" w:eastAsia="Calibri" w:hAnsi="Calibri" w:cs="Times New Roman"/>
              </w:rPr>
              <w:lastRenderedPageBreak/>
              <w:t>8</w:t>
            </w:r>
          </w:p>
        </w:tc>
        <w:tc>
          <w:tcPr>
            <w:tcW w:w="8789" w:type="dxa"/>
          </w:tcPr>
          <w:p w14:paraId="2D8C0436" w14:textId="250EA238" w:rsidR="004A6EAB" w:rsidRPr="004A6EAB" w:rsidRDefault="004A6EAB" w:rsidP="004A6EAB">
            <w:pPr>
              <w:pStyle w:val="ListParagraph"/>
              <w:numPr>
                <w:ilvl w:val="0"/>
                <w:numId w:val="14"/>
              </w:numPr>
              <w:spacing w:after="160" w:line="256" w:lineRule="auto"/>
              <w:rPr>
                <w:rFonts w:ascii="Calibri" w:eastAsia="Calibri" w:hAnsi="Calibri" w:cs="Times New Roman"/>
              </w:rPr>
            </w:pPr>
            <w:r w:rsidRPr="009C7452">
              <w:rPr>
                <w:rFonts w:ascii="Calibri" w:eastAsia="Calibri" w:hAnsi="Calibri" w:cs="Times New Roman"/>
              </w:rPr>
              <w:t>Finally,</w:t>
            </w:r>
            <w:r>
              <w:rPr>
                <w:rFonts w:ascii="Calibri" w:eastAsia="Calibri" w:hAnsi="Calibri" w:cs="Times New Roman"/>
              </w:rPr>
              <w:t xml:space="preserve"> </w:t>
            </w:r>
            <w:r w:rsidRPr="009C7452">
              <w:rPr>
                <w:rFonts w:ascii="Calibri" w:eastAsia="Calibri" w:hAnsi="Calibri" w:cs="Times New Roman"/>
              </w:rPr>
              <w:t>students are encouraged to design the</w:t>
            </w:r>
            <w:r>
              <w:rPr>
                <w:rFonts w:ascii="Calibri" w:eastAsia="Calibri" w:hAnsi="Calibri" w:cs="Times New Roman"/>
              </w:rPr>
              <w:t>ir</w:t>
            </w:r>
            <w:r w:rsidRPr="009C7452">
              <w:rPr>
                <w:rFonts w:ascii="Calibri" w:eastAsia="Calibri" w:hAnsi="Calibri" w:cs="Times New Roman"/>
              </w:rPr>
              <w:t xml:space="preserve"> own Open Day Action Plan. This is to encourage students to think what they want to get out of their own open days. Students can either create their own or a printout of slide 8 can be used.</w:t>
            </w:r>
          </w:p>
          <w:p w14:paraId="6F8A5A4A" w14:textId="77777777" w:rsidR="004A6EAB" w:rsidRPr="00294871" w:rsidRDefault="004A6EAB" w:rsidP="00057D1F">
            <w:pPr>
              <w:ind w:left="360"/>
              <w:contextualSpacing/>
              <w:rPr>
                <w:rFonts w:ascii="Calibri" w:eastAsia="Calibri" w:hAnsi="Calibri" w:cs="Times New Roman"/>
              </w:rPr>
            </w:pPr>
          </w:p>
        </w:tc>
      </w:tr>
    </w:tbl>
    <w:p w14:paraId="3D93B9C6" w14:textId="674AA70F" w:rsidR="00B05A10" w:rsidRDefault="00B05A10" w:rsidP="00B05A10">
      <w:pPr>
        <w:pStyle w:val="NoSpacing"/>
        <w:spacing w:line="360" w:lineRule="auto"/>
      </w:pPr>
    </w:p>
    <w:p w14:paraId="50AD130A" w14:textId="77777777" w:rsidR="00B05A10" w:rsidRPr="002A7281" w:rsidRDefault="00B05A10" w:rsidP="00B05A10">
      <w:pPr>
        <w:pStyle w:val="NoSpacing"/>
        <w:spacing w:line="360" w:lineRule="auto"/>
      </w:pPr>
    </w:p>
    <w:sectPr w:rsidR="00B05A10" w:rsidRPr="002A7281" w:rsidSect="00D53B28">
      <w:headerReference w:type="default" r:id="rId9"/>
      <w:footerReference w:type="default" r:id="rId10"/>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D90F" w14:textId="77777777" w:rsidR="000669D5" w:rsidRDefault="000669D5" w:rsidP="00CE0076">
      <w:r>
        <w:separator/>
      </w:r>
    </w:p>
  </w:endnote>
  <w:endnote w:type="continuationSeparator" w:id="0">
    <w:p w14:paraId="4AEDCF8D" w14:textId="77777777" w:rsidR="000669D5" w:rsidRDefault="000669D5"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2D8E"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892E" w14:textId="77777777" w:rsidR="000669D5" w:rsidRDefault="000669D5" w:rsidP="00CE0076">
      <w:r>
        <w:separator/>
      </w:r>
    </w:p>
  </w:footnote>
  <w:footnote w:type="continuationSeparator" w:id="0">
    <w:p w14:paraId="55B788EA" w14:textId="77777777" w:rsidR="000669D5" w:rsidRDefault="000669D5"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D537F"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20203F"/>
    <w:multiLevelType w:val="hybridMultilevel"/>
    <w:tmpl w:val="7D627CAE"/>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F0505E"/>
    <w:multiLevelType w:val="hybridMultilevel"/>
    <w:tmpl w:val="DF707E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F4F70F6"/>
    <w:multiLevelType w:val="hybridMultilevel"/>
    <w:tmpl w:val="C9F69926"/>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4" w15:restartNumberingAfterBreak="0">
    <w:nsid w:val="1AFA21DE"/>
    <w:multiLevelType w:val="hybridMultilevel"/>
    <w:tmpl w:val="6E040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9E02A9"/>
    <w:multiLevelType w:val="hybridMultilevel"/>
    <w:tmpl w:val="654C7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0880">
    <w:abstractNumId w:val="8"/>
  </w:num>
  <w:num w:numId="2" w16cid:durableId="1543324540">
    <w:abstractNumId w:val="5"/>
  </w:num>
  <w:num w:numId="3" w16cid:durableId="1234047401">
    <w:abstractNumId w:val="10"/>
  </w:num>
  <w:num w:numId="4" w16cid:durableId="408380640">
    <w:abstractNumId w:val="9"/>
  </w:num>
  <w:num w:numId="5" w16cid:durableId="279071130">
    <w:abstractNumId w:val="7"/>
  </w:num>
  <w:num w:numId="6" w16cid:durableId="221990525">
    <w:abstractNumId w:val="11"/>
  </w:num>
  <w:num w:numId="7" w16cid:durableId="426081716">
    <w:abstractNumId w:val="0"/>
  </w:num>
  <w:num w:numId="8" w16cid:durableId="1529635970">
    <w:abstractNumId w:val="13"/>
  </w:num>
  <w:num w:numId="9" w16cid:durableId="1556352876">
    <w:abstractNumId w:val="3"/>
  </w:num>
  <w:num w:numId="10" w16cid:durableId="859658262">
    <w:abstractNumId w:val="2"/>
  </w:num>
  <w:num w:numId="11" w16cid:durableId="1356075946">
    <w:abstractNumId w:val="6"/>
  </w:num>
  <w:num w:numId="12" w16cid:durableId="1504541392">
    <w:abstractNumId w:val="14"/>
  </w:num>
  <w:num w:numId="13" w16cid:durableId="1318268336">
    <w:abstractNumId w:val="12"/>
  </w:num>
  <w:num w:numId="14" w16cid:durableId="110251880">
    <w:abstractNumId w:val="4"/>
  </w:num>
  <w:num w:numId="15" w16cid:durableId="264653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06AFC"/>
    <w:rsid w:val="000125FE"/>
    <w:rsid w:val="00036735"/>
    <w:rsid w:val="000669D5"/>
    <w:rsid w:val="00073135"/>
    <w:rsid w:val="000D204C"/>
    <w:rsid w:val="000E63CC"/>
    <w:rsid w:val="000F6F07"/>
    <w:rsid w:val="00107480"/>
    <w:rsid w:val="00124979"/>
    <w:rsid w:val="00137802"/>
    <w:rsid w:val="001A79D8"/>
    <w:rsid w:val="001B42A2"/>
    <w:rsid w:val="001C0D19"/>
    <w:rsid w:val="001C2F74"/>
    <w:rsid w:val="001E6F00"/>
    <w:rsid w:val="002078FC"/>
    <w:rsid w:val="00252866"/>
    <w:rsid w:val="00262597"/>
    <w:rsid w:val="002772B6"/>
    <w:rsid w:val="002A7281"/>
    <w:rsid w:val="002D1988"/>
    <w:rsid w:val="002E3D34"/>
    <w:rsid w:val="00310AAF"/>
    <w:rsid w:val="00314783"/>
    <w:rsid w:val="003147F2"/>
    <w:rsid w:val="00314BE7"/>
    <w:rsid w:val="003467B1"/>
    <w:rsid w:val="003C2745"/>
    <w:rsid w:val="003C7358"/>
    <w:rsid w:val="00434450"/>
    <w:rsid w:val="00440ACF"/>
    <w:rsid w:val="0045135B"/>
    <w:rsid w:val="00457FEE"/>
    <w:rsid w:val="0046561F"/>
    <w:rsid w:val="00492E38"/>
    <w:rsid w:val="004A6EAB"/>
    <w:rsid w:val="004B624E"/>
    <w:rsid w:val="004C28AD"/>
    <w:rsid w:val="00501343"/>
    <w:rsid w:val="00542B71"/>
    <w:rsid w:val="00546E78"/>
    <w:rsid w:val="00554462"/>
    <w:rsid w:val="005D2AF1"/>
    <w:rsid w:val="00602467"/>
    <w:rsid w:val="00602561"/>
    <w:rsid w:val="00603496"/>
    <w:rsid w:val="00613FEE"/>
    <w:rsid w:val="006222A0"/>
    <w:rsid w:val="00630C15"/>
    <w:rsid w:val="006B5963"/>
    <w:rsid w:val="006D436E"/>
    <w:rsid w:val="006E26F5"/>
    <w:rsid w:val="007017D4"/>
    <w:rsid w:val="007075B1"/>
    <w:rsid w:val="00760C74"/>
    <w:rsid w:val="0076399C"/>
    <w:rsid w:val="007A72F2"/>
    <w:rsid w:val="007D28E6"/>
    <w:rsid w:val="007E451D"/>
    <w:rsid w:val="007E5B99"/>
    <w:rsid w:val="007E7203"/>
    <w:rsid w:val="00834210"/>
    <w:rsid w:val="008609B2"/>
    <w:rsid w:val="0086348C"/>
    <w:rsid w:val="00874307"/>
    <w:rsid w:val="00892C2F"/>
    <w:rsid w:val="008A13B6"/>
    <w:rsid w:val="008A1C62"/>
    <w:rsid w:val="008A3EE1"/>
    <w:rsid w:val="00913A4F"/>
    <w:rsid w:val="009319B5"/>
    <w:rsid w:val="009418E5"/>
    <w:rsid w:val="00944D76"/>
    <w:rsid w:val="009820C3"/>
    <w:rsid w:val="009B0112"/>
    <w:rsid w:val="009C7452"/>
    <w:rsid w:val="00A1432C"/>
    <w:rsid w:val="00A258CB"/>
    <w:rsid w:val="00A33A97"/>
    <w:rsid w:val="00A41ACC"/>
    <w:rsid w:val="00A42EAF"/>
    <w:rsid w:val="00AA7C95"/>
    <w:rsid w:val="00AC506F"/>
    <w:rsid w:val="00AE2D39"/>
    <w:rsid w:val="00AE3AB8"/>
    <w:rsid w:val="00B05A10"/>
    <w:rsid w:val="00B23D10"/>
    <w:rsid w:val="00BA45C9"/>
    <w:rsid w:val="00BB0E63"/>
    <w:rsid w:val="00BD055C"/>
    <w:rsid w:val="00BD0BA6"/>
    <w:rsid w:val="00BD2222"/>
    <w:rsid w:val="00BF59BE"/>
    <w:rsid w:val="00C706B1"/>
    <w:rsid w:val="00C7481F"/>
    <w:rsid w:val="00C759B1"/>
    <w:rsid w:val="00C77227"/>
    <w:rsid w:val="00C91144"/>
    <w:rsid w:val="00CA1748"/>
    <w:rsid w:val="00CA47EE"/>
    <w:rsid w:val="00CB2EB4"/>
    <w:rsid w:val="00CE0076"/>
    <w:rsid w:val="00D03271"/>
    <w:rsid w:val="00D27AC3"/>
    <w:rsid w:val="00D53B28"/>
    <w:rsid w:val="00D8738D"/>
    <w:rsid w:val="00DD671A"/>
    <w:rsid w:val="00E41EFD"/>
    <w:rsid w:val="00E639BB"/>
    <w:rsid w:val="00E63A25"/>
    <w:rsid w:val="00E6496D"/>
    <w:rsid w:val="00EA5778"/>
    <w:rsid w:val="00EE40E6"/>
    <w:rsid w:val="00F32400"/>
    <w:rsid w:val="00F448E3"/>
    <w:rsid w:val="00F620FC"/>
    <w:rsid w:val="00F64D62"/>
    <w:rsid w:val="00F736EA"/>
    <w:rsid w:val="00F75B9E"/>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 w:type="table" w:customStyle="1" w:styleId="TableGrid1">
    <w:name w:val="Table Grid1"/>
    <w:basedOn w:val="TableNormal"/>
    <w:next w:val="TableGrid"/>
    <w:uiPriority w:val="39"/>
    <w:rsid w:val="004A6EAB"/>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1863">
      <w:bodyDiv w:val="1"/>
      <w:marLeft w:val="0"/>
      <w:marRight w:val="0"/>
      <w:marTop w:val="0"/>
      <w:marBottom w:val="0"/>
      <w:divBdr>
        <w:top w:val="none" w:sz="0" w:space="0" w:color="auto"/>
        <w:left w:val="none" w:sz="0" w:space="0" w:color="auto"/>
        <w:bottom w:val="none" w:sz="0" w:space="0" w:color="auto"/>
        <w:right w:val="none" w:sz="0" w:space="0" w:color="auto"/>
      </w:divBdr>
    </w:div>
    <w:div w:id="357780300">
      <w:bodyDiv w:val="1"/>
      <w:marLeft w:val="0"/>
      <w:marRight w:val="0"/>
      <w:marTop w:val="0"/>
      <w:marBottom w:val="0"/>
      <w:divBdr>
        <w:top w:val="none" w:sz="0" w:space="0" w:color="auto"/>
        <w:left w:val="none" w:sz="0" w:space="0" w:color="auto"/>
        <w:bottom w:val="none" w:sz="0" w:space="0" w:color="auto"/>
        <w:right w:val="none" w:sz="0" w:space="0" w:color="auto"/>
      </w:divBdr>
    </w:div>
    <w:div w:id="1020667176">
      <w:bodyDiv w:val="1"/>
      <w:marLeft w:val="0"/>
      <w:marRight w:val="0"/>
      <w:marTop w:val="0"/>
      <w:marBottom w:val="0"/>
      <w:divBdr>
        <w:top w:val="none" w:sz="0" w:space="0" w:color="auto"/>
        <w:left w:val="none" w:sz="0" w:space="0" w:color="auto"/>
        <w:bottom w:val="none" w:sz="0" w:space="0" w:color="auto"/>
        <w:right w:val="none" w:sz="0" w:space="0" w:color="auto"/>
      </w:divBdr>
    </w:div>
    <w:div w:id="1076896409">
      <w:bodyDiv w:val="1"/>
      <w:marLeft w:val="0"/>
      <w:marRight w:val="0"/>
      <w:marTop w:val="0"/>
      <w:marBottom w:val="0"/>
      <w:divBdr>
        <w:top w:val="none" w:sz="0" w:space="0" w:color="auto"/>
        <w:left w:val="none" w:sz="0" w:space="0" w:color="auto"/>
        <w:bottom w:val="none" w:sz="0" w:space="0" w:color="auto"/>
        <w:right w:val="none" w:sz="0" w:space="0" w:color="auto"/>
      </w:divBdr>
    </w:div>
    <w:div w:id="1225340255">
      <w:bodyDiv w:val="1"/>
      <w:marLeft w:val="0"/>
      <w:marRight w:val="0"/>
      <w:marTop w:val="0"/>
      <w:marBottom w:val="0"/>
      <w:divBdr>
        <w:top w:val="none" w:sz="0" w:space="0" w:color="auto"/>
        <w:left w:val="none" w:sz="0" w:space="0" w:color="auto"/>
        <w:bottom w:val="none" w:sz="0" w:space="0" w:color="auto"/>
        <w:right w:val="none" w:sz="0" w:space="0" w:color="auto"/>
      </w:divBdr>
    </w:div>
    <w:div w:id="1365903828">
      <w:bodyDiv w:val="1"/>
      <w:marLeft w:val="0"/>
      <w:marRight w:val="0"/>
      <w:marTop w:val="0"/>
      <w:marBottom w:val="0"/>
      <w:divBdr>
        <w:top w:val="none" w:sz="0" w:space="0" w:color="auto"/>
        <w:left w:val="none" w:sz="0" w:space="0" w:color="auto"/>
        <w:bottom w:val="none" w:sz="0" w:space="0" w:color="auto"/>
        <w:right w:val="none" w:sz="0" w:space="0" w:color="auto"/>
      </w:divBdr>
    </w:div>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Rebecca King-Asata</cp:lastModifiedBy>
  <cp:revision>2</cp:revision>
  <dcterms:created xsi:type="dcterms:W3CDTF">2023-09-13T10:53:00Z</dcterms:created>
  <dcterms:modified xsi:type="dcterms:W3CDTF">2023-09-13T10:53:00Z</dcterms:modified>
</cp:coreProperties>
</file>